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4CE0" w14:textId="682C5047" w:rsidR="000B14E8" w:rsidRPr="00101A9D" w:rsidRDefault="00101A9D">
      <w:pPr>
        <w:rPr>
          <w:b/>
          <w:bCs/>
        </w:rPr>
      </w:pPr>
      <w:r w:rsidRPr="00101A9D">
        <w:rPr>
          <w:b/>
          <w:bCs/>
        </w:rPr>
        <w:t xml:space="preserve">New burglary offences </w:t>
      </w:r>
    </w:p>
    <w:p w14:paraId="267FD331" w14:textId="77777777" w:rsidR="00101A9D" w:rsidRDefault="00101A9D"/>
    <w:p w14:paraId="047839A4" w14:textId="77777777" w:rsidR="001347ED" w:rsidRDefault="00101A9D">
      <w:r>
        <w:t xml:space="preserve">In July 2022 the sentencing council published a revised guidelines for burglary offences which superseded the previous sentencing guidelines. </w:t>
      </w:r>
    </w:p>
    <w:p w14:paraId="4C32F008" w14:textId="77777777" w:rsidR="001347ED" w:rsidRDefault="001347ED"/>
    <w:p w14:paraId="725B917F" w14:textId="52598856" w:rsidR="00101A9D" w:rsidRDefault="00101A9D">
      <w:r>
        <w:t xml:space="preserve">Within the new guidelines culpability C </w:t>
      </w:r>
      <w:r w:rsidR="001347ED">
        <w:t xml:space="preserve">for aggravated burglary </w:t>
      </w:r>
      <w:r>
        <w:t>has been changed to:</w:t>
      </w:r>
    </w:p>
    <w:p w14:paraId="6A8A86D8" w14:textId="77777777" w:rsidR="00101A9D" w:rsidRDefault="00101A9D"/>
    <w:p w14:paraId="1BA8DB46" w14:textId="4B2EF1D5" w:rsidR="00101A9D" w:rsidRDefault="00101A9D" w:rsidP="00101A9D">
      <w:pPr>
        <w:pStyle w:val="ListParagraph"/>
        <w:numPr>
          <w:ilvl w:val="0"/>
          <w:numId w:val="1"/>
        </w:numPr>
      </w:pPr>
      <w:r>
        <w:t xml:space="preserve">Involved through coercion, </w:t>
      </w:r>
      <w:proofErr w:type="gramStart"/>
      <w:r>
        <w:t>intimidation</w:t>
      </w:r>
      <w:proofErr w:type="gramEnd"/>
      <w:r>
        <w:t xml:space="preserve"> or exploitation. </w:t>
      </w:r>
    </w:p>
    <w:p w14:paraId="217C6C15" w14:textId="72D74F64" w:rsidR="00101A9D" w:rsidRDefault="00101A9D" w:rsidP="00101A9D">
      <w:pPr>
        <w:pStyle w:val="ListParagraph"/>
        <w:numPr>
          <w:ilvl w:val="0"/>
          <w:numId w:val="1"/>
        </w:numPr>
      </w:pPr>
      <w:r>
        <w:t>Mental disorder or learning disability, where linked to the commission of the offence.</w:t>
      </w:r>
    </w:p>
    <w:p w14:paraId="2CB7CA4B" w14:textId="77777777" w:rsidR="00101A9D" w:rsidRDefault="00101A9D" w:rsidP="00101A9D"/>
    <w:p w14:paraId="00F4093B" w14:textId="6CBCD80D" w:rsidR="00101A9D" w:rsidRDefault="00101A9D">
      <w:r>
        <w:t>Based on this alteration the new starting point sentence will be based on culpability B which does not contain the mitigating factors described in new culpability C category</w:t>
      </w:r>
      <w:r w:rsidR="001347ED">
        <w:t xml:space="preserve"> for aggravated burglary. </w:t>
      </w:r>
    </w:p>
    <w:p w14:paraId="2B53F569" w14:textId="77777777" w:rsidR="00A1631C" w:rsidRDefault="00A1631C"/>
    <w:p w14:paraId="167C6B3E" w14:textId="29AEF762" w:rsidR="00A1631C" w:rsidRDefault="00A1631C" w:rsidP="00A1631C">
      <w:r>
        <w:t>Within the new guidelines culpability C for domestic burglary and non-domestic burglary has been changed to:</w:t>
      </w:r>
    </w:p>
    <w:p w14:paraId="3E2AE4CB" w14:textId="77777777" w:rsidR="00A1631C" w:rsidRDefault="00A1631C" w:rsidP="00A1631C"/>
    <w:p w14:paraId="0E980D3A" w14:textId="77777777" w:rsidR="00A1631C" w:rsidRDefault="00A1631C" w:rsidP="00A1631C">
      <w:pPr>
        <w:pStyle w:val="ListParagraph"/>
        <w:numPr>
          <w:ilvl w:val="0"/>
          <w:numId w:val="1"/>
        </w:numPr>
      </w:pPr>
      <w:r>
        <w:t xml:space="preserve">Involved through coercion, </w:t>
      </w:r>
      <w:proofErr w:type="gramStart"/>
      <w:r>
        <w:t>intimidation</w:t>
      </w:r>
      <w:proofErr w:type="gramEnd"/>
      <w:r>
        <w:t xml:space="preserve"> or exploitation. </w:t>
      </w:r>
    </w:p>
    <w:p w14:paraId="7A401680" w14:textId="77777777" w:rsidR="00A1631C" w:rsidRDefault="00A1631C" w:rsidP="00A1631C">
      <w:pPr>
        <w:pStyle w:val="ListParagraph"/>
        <w:numPr>
          <w:ilvl w:val="0"/>
          <w:numId w:val="1"/>
        </w:numPr>
      </w:pPr>
      <w:r>
        <w:t>Mental disorder or learning disability, where linked to the commission of the offence.</w:t>
      </w:r>
    </w:p>
    <w:p w14:paraId="2D6C5A2D" w14:textId="046C8FED" w:rsidR="00A1631C" w:rsidRDefault="00A1631C" w:rsidP="00A1631C">
      <w:pPr>
        <w:pStyle w:val="ListParagraph"/>
        <w:numPr>
          <w:ilvl w:val="0"/>
          <w:numId w:val="1"/>
        </w:numPr>
      </w:pPr>
      <w:r>
        <w:t xml:space="preserve">Offence committed on impulse with limited intrusion into the </w:t>
      </w:r>
      <w:proofErr w:type="gramStart"/>
      <w:r>
        <w:t>property</w:t>
      </w:r>
      <w:proofErr w:type="gramEnd"/>
      <w:r>
        <w:t xml:space="preserve"> </w:t>
      </w:r>
    </w:p>
    <w:p w14:paraId="07AC21B1" w14:textId="77777777" w:rsidR="00A1631C" w:rsidRDefault="00A1631C" w:rsidP="00A1631C"/>
    <w:p w14:paraId="71953A12" w14:textId="40D67A94" w:rsidR="00A1631C" w:rsidRDefault="00A1631C" w:rsidP="00A1631C">
      <w:r>
        <w:t xml:space="preserve">Based on this alteration the new starting point sentence will be based on culpability B which does not contain the mitigating factors described in new culpability C category for domestic and non-domestic burglary. </w:t>
      </w:r>
    </w:p>
    <w:p w14:paraId="7E28D718" w14:textId="77777777" w:rsidR="00A1631C" w:rsidRDefault="00A1631C"/>
    <w:p w14:paraId="11284457" w14:textId="77777777" w:rsidR="00101A9D" w:rsidRDefault="00101A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101A9D" w14:paraId="41DE373B" w14:textId="77777777" w:rsidTr="00101A9D">
        <w:tc>
          <w:tcPr>
            <w:tcW w:w="1802" w:type="dxa"/>
          </w:tcPr>
          <w:p w14:paraId="2DD51E50" w14:textId="77777777" w:rsidR="00101A9D" w:rsidRDefault="00101A9D"/>
        </w:tc>
        <w:tc>
          <w:tcPr>
            <w:tcW w:w="1802" w:type="dxa"/>
          </w:tcPr>
          <w:p w14:paraId="63F8BC13" w14:textId="47E62EF9" w:rsidR="00101A9D" w:rsidRDefault="00101A9D">
            <w:r>
              <w:t>2012 starting point sentence</w:t>
            </w:r>
          </w:p>
        </w:tc>
        <w:tc>
          <w:tcPr>
            <w:tcW w:w="1802" w:type="dxa"/>
          </w:tcPr>
          <w:p w14:paraId="58541D03" w14:textId="44AE5E4C" w:rsidR="00101A9D" w:rsidRDefault="00101A9D">
            <w:r>
              <w:t>Former CCHI score</w:t>
            </w:r>
          </w:p>
        </w:tc>
        <w:tc>
          <w:tcPr>
            <w:tcW w:w="1802" w:type="dxa"/>
          </w:tcPr>
          <w:p w14:paraId="2DE9DC73" w14:textId="13A46F58" w:rsidR="00101A9D" w:rsidRDefault="00101A9D">
            <w:r>
              <w:t>2022 starting point sentence</w:t>
            </w:r>
          </w:p>
        </w:tc>
        <w:tc>
          <w:tcPr>
            <w:tcW w:w="1802" w:type="dxa"/>
          </w:tcPr>
          <w:p w14:paraId="7FBAF1E1" w14:textId="422BBBBE" w:rsidR="00101A9D" w:rsidRDefault="00101A9D">
            <w:r>
              <w:t>Updated CCHI score</w:t>
            </w:r>
          </w:p>
        </w:tc>
      </w:tr>
      <w:tr w:rsidR="00101A9D" w14:paraId="16C7DF65" w14:textId="77777777" w:rsidTr="00101A9D">
        <w:tc>
          <w:tcPr>
            <w:tcW w:w="1802" w:type="dxa"/>
          </w:tcPr>
          <w:p w14:paraId="3D7DA92A" w14:textId="0CCBD1B8" w:rsidR="00101A9D" w:rsidRDefault="00101A9D">
            <w:r>
              <w:t>Aggravated burglary</w:t>
            </w:r>
          </w:p>
        </w:tc>
        <w:tc>
          <w:tcPr>
            <w:tcW w:w="1802" w:type="dxa"/>
          </w:tcPr>
          <w:p w14:paraId="18CF85E7" w14:textId="6C7730D3" w:rsidR="00101A9D" w:rsidRDefault="00101A9D">
            <w:r>
              <w:t>2 years</w:t>
            </w:r>
          </w:p>
        </w:tc>
        <w:tc>
          <w:tcPr>
            <w:tcW w:w="1802" w:type="dxa"/>
          </w:tcPr>
          <w:p w14:paraId="6C50B9FE" w14:textId="6F18DEA9" w:rsidR="00101A9D" w:rsidRDefault="00101A9D">
            <w:r>
              <w:t>730</w:t>
            </w:r>
          </w:p>
        </w:tc>
        <w:tc>
          <w:tcPr>
            <w:tcW w:w="1802" w:type="dxa"/>
          </w:tcPr>
          <w:p w14:paraId="6FFC459F" w14:textId="633C993F" w:rsidR="00101A9D" w:rsidRDefault="00101A9D">
            <w:r>
              <w:t xml:space="preserve">4 years </w:t>
            </w:r>
          </w:p>
        </w:tc>
        <w:tc>
          <w:tcPr>
            <w:tcW w:w="1802" w:type="dxa"/>
          </w:tcPr>
          <w:p w14:paraId="3C07EACF" w14:textId="2D7A5AFB" w:rsidR="00101A9D" w:rsidRDefault="00101A9D">
            <w:r>
              <w:t>1460</w:t>
            </w:r>
          </w:p>
        </w:tc>
      </w:tr>
      <w:tr w:rsidR="00101A9D" w14:paraId="419F9BFF" w14:textId="77777777" w:rsidTr="00101A9D">
        <w:tc>
          <w:tcPr>
            <w:tcW w:w="1802" w:type="dxa"/>
          </w:tcPr>
          <w:p w14:paraId="768080B8" w14:textId="77777777" w:rsidR="00101A9D" w:rsidRDefault="00A1631C">
            <w:r>
              <w:t>Domestic burglary</w:t>
            </w:r>
          </w:p>
          <w:p w14:paraId="053AD2AF" w14:textId="528BDBAC" w:rsidR="00A1631C" w:rsidRPr="00A1631C" w:rsidRDefault="00A1631C">
            <w:pPr>
              <w:rPr>
                <w:i/>
                <w:iCs/>
              </w:rPr>
            </w:pPr>
            <w:r>
              <w:rPr>
                <w:i/>
                <w:iCs/>
              </w:rPr>
              <w:t>(Formerly burglary dwelling)</w:t>
            </w:r>
          </w:p>
        </w:tc>
        <w:tc>
          <w:tcPr>
            <w:tcW w:w="1802" w:type="dxa"/>
          </w:tcPr>
          <w:p w14:paraId="3CB13327" w14:textId="7BDECC11" w:rsidR="00101A9D" w:rsidRDefault="00A1631C">
            <w:r>
              <w:t>High level community order</w:t>
            </w:r>
          </w:p>
        </w:tc>
        <w:tc>
          <w:tcPr>
            <w:tcW w:w="1802" w:type="dxa"/>
          </w:tcPr>
          <w:p w14:paraId="7504461E" w14:textId="0F0E4E27" w:rsidR="00101A9D" w:rsidRDefault="00A1631C">
            <w:r>
              <w:t>19</w:t>
            </w:r>
          </w:p>
        </w:tc>
        <w:tc>
          <w:tcPr>
            <w:tcW w:w="1802" w:type="dxa"/>
          </w:tcPr>
          <w:p w14:paraId="4002DCC4" w14:textId="64D0B8CC" w:rsidR="00101A9D" w:rsidRDefault="00A1631C">
            <w:r>
              <w:t>1 years</w:t>
            </w:r>
          </w:p>
        </w:tc>
        <w:tc>
          <w:tcPr>
            <w:tcW w:w="1802" w:type="dxa"/>
          </w:tcPr>
          <w:p w14:paraId="48DC2C63" w14:textId="1E4507BF" w:rsidR="00101A9D" w:rsidRDefault="00A1631C">
            <w:r>
              <w:t>365</w:t>
            </w:r>
          </w:p>
        </w:tc>
      </w:tr>
      <w:tr w:rsidR="00844F14" w14:paraId="746E4ACB" w14:textId="77777777" w:rsidTr="00101A9D">
        <w:tc>
          <w:tcPr>
            <w:tcW w:w="1802" w:type="dxa"/>
          </w:tcPr>
          <w:p w14:paraId="08F9831F" w14:textId="77777777" w:rsidR="00844F14" w:rsidRDefault="00844F14" w:rsidP="00844F14">
            <w:proofErr w:type="gramStart"/>
            <w:r>
              <w:t>Non domestic</w:t>
            </w:r>
            <w:proofErr w:type="gramEnd"/>
            <w:r>
              <w:t xml:space="preserve"> burglary </w:t>
            </w:r>
          </w:p>
          <w:p w14:paraId="6BE2CE51" w14:textId="358DF8F0" w:rsidR="00844F14" w:rsidRPr="00A1631C" w:rsidRDefault="00844F14" w:rsidP="00844F14">
            <w:pPr>
              <w:rPr>
                <w:i/>
                <w:iCs/>
              </w:rPr>
            </w:pPr>
            <w:r w:rsidRPr="00A1631C">
              <w:rPr>
                <w:i/>
                <w:iCs/>
              </w:rPr>
              <w:t>(Formerly burglary non dwelling)</w:t>
            </w:r>
          </w:p>
        </w:tc>
        <w:tc>
          <w:tcPr>
            <w:tcW w:w="1802" w:type="dxa"/>
          </w:tcPr>
          <w:p w14:paraId="7711E206" w14:textId="028D6487" w:rsidR="00844F14" w:rsidRDefault="00844F14" w:rsidP="00844F14">
            <w:r>
              <w:t>Medium level community order</w:t>
            </w:r>
          </w:p>
        </w:tc>
        <w:tc>
          <w:tcPr>
            <w:tcW w:w="1802" w:type="dxa"/>
          </w:tcPr>
          <w:p w14:paraId="0418EFE7" w14:textId="0556321D" w:rsidR="00844F14" w:rsidRDefault="00844F14" w:rsidP="00844F14">
            <w:r>
              <w:t>10</w:t>
            </w:r>
          </w:p>
        </w:tc>
        <w:tc>
          <w:tcPr>
            <w:tcW w:w="1802" w:type="dxa"/>
          </w:tcPr>
          <w:p w14:paraId="4BB81DCD" w14:textId="2726D986" w:rsidR="00844F14" w:rsidRDefault="00844F14" w:rsidP="00844F14">
            <w:r>
              <w:t>Medium level community order</w:t>
            </w:r>
          </w:p>
        </w:tc>
        <w:tc>
          <w:tcPr>
            <w:tcW w:w="1802" w:type="dxa"/>
          </w:tcPr>
          <w:p w14:paraId="715C13BE" w14:textId="05AB2422" w:rsidR="00844F14" w:rsidRDefault="00844F14" w:rsidP="00844F14">
            <w:r>
              <w:t>10</w:t>
            </w:r>
          </w:p>
        </w:tc>
      </w:tr>
    </w:tbl>
    <w:p w14:paraId="475FBC91" w14:textId="77777777" w:rsidR="00101A9D" w:rsidRDefault="00101A9D"/>
    <w:p w14:paraId="27C339A1" w14:textId="63E89A4C" w:rsidR="00BB2875" w:rsidRPr="00BB2875" w:rsidRDefault="00C472B9">
      <w:pPr>
        <w:rPr>
          <w:b/>
          <w:bCs/>
        </w:rPr>
      </w:pPr>
      <w:r>
        <w:rPr>
          <w:b/>
          <w:bCs/>
        </w:rPr>
        <w:t xml:space="preserve">New Offence of </w:t>
      </w:r>
      <w:r w:rsidRPr="00BB2875">
        <w:rPr>
          <w:b/>
          <w:bCs/>
        </w:rPr>
        <w:t>Non-Fatal</w:t>
      </w:r>
      <w:r w:rsidR="00BB2875" w:rsidRPr="00BB2875">
        <w:rPr>
          <w:b/>
          <w:bCs/>
        </w:rPr>
        <w:t xml:space="preserve"> Strangulation </w:t>
      </w:r>
    </w:p>
    <w:p w14:paraId="0191B4C2" w14:textId="77777777" w:rsidR="00BB2875" w:rsidRDefault="00BB2875"/>
    <w:p w14:paraId="33F9E64E" w14:textId="11EA3AAE" w:rsidR="00BB2875" w:rsidRDefault="00BB2875" w:rsidP="00BB2875">
      <w:proofErr w:type="gramStart"/>
      <w:r>
        <w:t>At this time</w:t>
      </w:r>
      <w:proofErr w:type="gramEnd"/>
      <w:r>
        <w:t xml:space="preserve"> (May 2023) there is no sentencing guidelines available for this offence. Currently the only guidance states that: </w:t>
      </w:r>
    </w:p>
    <w:p w14:paraId="7D5AA99B" w14:textId="77777777" w:rsidR="00BB2875" w:rsidRDefault="00BB2875" w:rsidP="00BB2875"/>
    <w:p w14:paraId="4B03EB77" w14:textId="77777777" w:rsidR="00BB2875" w:rsidRDefault="00BB2875" w:rsidP="00BB2875">
      <w:pPr>
        <w:jc w:val="center"/>
        <w:rPr>
          <w:i/>
          <w:iCs/>
        </w:rPr>
      </w:pPr>
      <w:r w:rsidRPr="00BB2875">
        <w:rPr>
          <w:i/>
          <w:iCs/>
        </w:rPr>
        <w:lastRenderedPageBreak/>
        <w:t xml:space="preserve">These offences are triable either way. A person found guilty of this offence is liable on summary conviction to a term not exceeding 12 </w:t>
      </w:r>
      <w:proofErr w:type="gramStart"/>
      <w:r w:rsidRPr="00BB2875">
        <w:rPr>
          <w:i/>
          <w:iCs/>
        </w:rPr>
        <w:t>month</w:t>
      </w:r>
      <w:proofErr w:type="gramEnd"/>
      <w:r w:rsidRPr="00BB2875">
        <w:rPr>
          <w:i/>
          <w:iCs/>
        </w:rPr>
        <w:t>, or a fine or both, and on conviction on indictment</w:t>
      </w:r>
      <w:r>
        <w:rPr>
          <w:i/>
          <w:iCs/>
        </w:rPr>
        <w:t xml:space="preserve"> to imprisonment for a term not exceeding 5 years or to a fine or both.</w:t>
      </w:r>
    </w:p>
    <w:p w14:paraId="7E2177AA" w14:textId="08501EF8" w:rsidR="00BB2875" w:rsidRDefault="00BB2875" w:rsidP="00BB2875">
      <w:pPr>
        <w:rPr>
          <w:i/>
          <w:iCs/>
        </w:rPr>
      </w:pPr>
    </w:p>
    <w:p w14:paraId="739138E5" w14:textId="74660A09" w:rsidR="00BB2875" w:rsidRPr="00BB2875" w:rsidRDefault="00CD629A" w:rsidP="00BB2875">
      <w:r>
        <w:t xml:space="preserve">CCEBP and colleagues </w:t>
      </w:r>
      <w:r w:rsidR="00BB2875">
        <w:t xml:space="preserve">have debated whether we could use Grievous Bodily Harm (GBH) with intent as a proxy offence for this new offence, however given the maximum sentence for non-fatal strangulation is 5 years under this current guidance GBH with intent would score too high. Therefore, we have looked at other offences that could be used as a proxy. </w:t>
      </w:r>
      <w:r>
        <w:t xml:space="preserve">Currently the decision is to </w:t>
      </w:r>
      <w:r w:rsidR="00BB2875">
        <w:t>use ABH as</w:t>
      </w:r>
      <w:r>
        <w:t xml:space="preserve"> a proxy offence. In the guidance for ABH there is a culpability category which includes strangulation as an aggravating factor. This would give the offence of non-fatal strangulation a CCHI score of 252 points.  </w:t>
      </w:r>
    </w:p>
    <w:p w14:paraId="47227916" w14:textId="77777777" w:rsidR="00BB2875" w:rsidRDefault="00BB2875"/>
    <w:sectPr w:rsidR="00BB2875" w:rsidSect="00F060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6138"/>
    <w:multiLevelType w:val="hybridMultilevel"/>
    <w:tmpl w:val="F592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8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9D"/>
    <w:rsid w:val="00101A9D"/>
    <w:rsid w:val="001347ED"/>
    <w:rsid w:val="00227C1F"/>
    <w:rsid w:val="002837DF"/>
    <w:rsid w:val="002D102B"/>
    <w:rsid w:val="00606611"/>
    <w:rsid w:val="00844F14"/>
    <w:rsid w:val="00A1631C"/>
    <w:rsid w:val="00B51552"/>
    <w:rsid w:val="00BB2875"/>
    <w:rsid w:val="00C472B9"/>
    <w:rsid w:val="00CD629A"/>
    <w:rsid w:val="00EE26A9"/>
    <w:rsid w:val="00F0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61BF"/>
  <w15:chartTrackingRefBased/>
  <w15:docId w15:val="{B5388D0B-E843-C04B-B61D-BFE7B36C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Neyroud</dc:creator>
  <cp:keywords/>
  <dc:description/>
  <cp:lastModifiedBy>Lou Bland</cp:lastModifiedBy>
  <cp:revision>2</cp:revision>
  <dcterms:created xsi:type="dcterms:W3CDTF">2023-05-09T09:24:00Z</dcterms:created>
  <dcterms:modified xsi:type="dcterms:W3CDTF">2023-05-09T09:24:00Z</dcterms:modified>
</cp:coreProperties>
</file>